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455C4F" w14:textId="77777777" w:rsidR="006D50B8" w:rsidRPr="006D50B8" w:rsidRDefault="006D50B8" w:rsidP="006D50B8">
      <w:pPr>
        <w:shd w:val="clear" w:color="auto" w:fill="FFFFFF"/>
        <w:spacing w:before="150" w:after="0" w:line="375" w:lineRule="atLeast"/>
        <w:jc w:val="both"/>
        <w:outlineLvl w:val="0"/>
        <w:rPr>
          <w:rFonts w:ascii="Nunito Sans" w:eastAsia="Times New Roman" w:hAnsi="Nunito Sans" w:cs="Times New Roman"/>
          <w:b/>
          <w:bCs/>
          <w:color w:val="C6262F"/>
          <w:kern w:val="36"/>
          <w:sz w:val="38"/>
          <w:szCs w:val="38"/>
          <w:lang w:eastAsia="es-ES"/>
          <w14:ligatures w14:val="none"/>
        </w:rPr>
      </w:pPr>
      <w:r w:rsidRPr="006D50B8">
        <w:rPr>
          <w:rFonts w:ascii="Nunito Sans" w:eastAsia="Times New Roman" w:hAnsi="Nunito Sans" w:cs="Times New Roman"/>
          <w:b/>
          <w:bCs/>
          <w:color w:val="C6262F"/>
          <w:kern w:val="36"/>
          <w:sz w:val="38"/>
          <w:szCs w:val="38"/>
          <w:lang w:eastAsia="es-ES"/>
          <w14:ligatures w14:val="none"/>
        </w:rPr>
        <w:t>Real Decreto-Ley 6/2024, de 5 de noviembre, por el que se adoptan medidas urgentes de respuesta ante los da</w:t>
      </w:r>
      <w:r w:rsidRPr="006D50B8">
        <w:rPr>
          <w:rFonts w:ascii="Nunito Sans" w:eastAsia="Times New Roman" w:hAnsi="Nunito Sans" w:cs="Times New Roman" w:hint="eastAsia"/>
          <w:b/>
          <w:bCs/>
          <w:color w:val="C6262F"/>
          <w:kern w:val="36"/>
          <w:sz w:val="38"/>
          <w:szCs w:val="38"/>
          <w:lang w:eastAsia="es-ES"/>
          <w14:ligatures w14:val="none"/>
        </w:rPr>
        <w:t>ñ</w:t>
      </w:r>
      <w:r w:rsidRPr="006D50B8">
        <w:rPr>
          <w:rFonts w:ascii="Nunito Sans" w:eastAsia="Times New Roman" w:hAnsi="Nunito Sans" w:cs="Times New Roman"/>
          <w:b/>
          <w:bCs/>
          <w:color w:val="C6262F"/>
          <w:kern w:val="36"/>
          <w:sz w:val="38"/>
          <w:szCs w:val="38"/>
          <w:lang w:eastAsia="es-ES"/>
          <w14:ligatures w14:val="none"/>
        </w:rPr>
        <w:t>os causados por la Depresi</w:t>
      </w:r>
      <w:r w:rsidRPr="006D50B8">
        <w:rPr>
          <w:rFonts w:ascii="Nunito Sans" w:eastAsia="Times New Roman" w:hAnsi="Nunito Sans" w:cs="Times New Roman" w:hint="eastAsia"/>
          <w:b/>
          <w:bCs/>
          <w:color w:val="C6262F"/>
          <w:kern w:val="36"/>
          <w:sz w:val="38"/>
          <w:szCs w:val="38"/>
          <w:lang w:eastAsia="es-ES"/>
          <w14:ligatures w14:val="none"/>
        </w:rPr>
        <w:t>ó</w:t>
      </w:r>
      <w:r w:rsidRPr="006D50B8">
        <w:rPr>
          <w:rFonts w:ascii="Nunito Sans" w:eastAsia="Times New Roman" w:hAnsi="Nunito Sans" w:cs="Times New Roman"/>
          <w:b/>
          <w:bCs/>
          <w:color w:val="C6262F"/>
          <w:kern w:val="36"/>
          <w:sz w:val="38"/>
          <w:szCs w:val="38"/>
          <w:lang w:eastAsia="es-ES"/>
          <w14:ligatures w14:val="none"/>
        </w:rPr>
        <w:t>n Aislada en Niveles Altos (DANA) en diferentes municipios entre el 28 de octubre y el 4 de noviembre de 2024.</w:t>
      </w:r>
    </w:p>
    <w:p w14:paraId="52D38D64" w14:textId="77777777" w:rsidR="006D50B8" w:rsidRDefault="006D50B8">
      <w:pPr>
        <w:rPr>
          <w:b/>
          <w:bCs/>
        </w:rPr>
      </w:pPr>
    </w:p>
    <w:p w14:paraId="4697D28E" w14:textId="77777777" w:rsidR="006D50B8" w:rsidRDefault="006D50B8">
      <w:pPr>
        <w:rPr>
          <w:b/>
          <w:bCs/>
        </w:rPr>
      </w:pPr>
    </w:p>
    <w:p w14:paraId="1F23ED60" w14:textId="77777777" w:rsidR="006D50B8" w:rsidRDefault="006D50B8" w:rsidP="006D50B8">
      <w:pPr>
        <w:jc w:val="center"/>
        <w:rPr>
          <w:b/>
          <w:bCs/>
          <w:color w:val="2F5496" w:themeColor="accent1" w:themeShade="BF"/>
          <w:sz w:val="28"/>
          <w:szCs w:val="28"/>
        </w:rPr>
      </w:pPr>
      <w:bookmarkStart w:id="0" w:name="_Hlk181815393"/>
      <w:r w:rsidRPr="006D50B8">
        <w:rPr>
          <w:b/>
          <w:bCs/>
          <w:color w:val="2F5496" w:themeColor="accent1" w:themeShade="BF"/>
          <w:sz w:val="28"/>
          <w:szCs w:val="28"/>
        </w:rPr>
        <w:t xml:space="preserve">MEDIDAS RELACIONADAS CON EL </w:t>
      </w:r>
    </w:p>
    <w:p w14:paraId="34D4623E" w14:textId="0A028E90" w:rsidR="006D50B8" w:rsidRPr="006D50B8" w:rsidRDefault="006D50B8" w:rsidP="006D50B8">
      <w:pPr>
        <w:jc w:val="center"/>
        <w:rPr>
          <w:b/>
          <w:bCs/>
          <w:color w:val="2F5496" w:themeColor="accent1" w:themeShade="BF"/>
          <w:sz w:val="28"/>
          <w:szCs w:val="28"/>
        </w:rPr>
      </w:pPr>
      <w:r w:rsidRPr="006D50B8">
        <w:rPr>
          <w:b/>
          <w:bCs/>
          <w:color w:val="2F5496" w:themeColor="accent1" w:themeShade="BF"/>
          <w:sz w:val="28"/>
          <w:szCs w:val="28"/>
        </w:rPr>
        <w:t>CONSORCIO DE COMPENSACIÓN DE SEGUROS</w:t>
      </w:r>
    </w:p>
    <w:bookmarkEnd w:id="0"/>
    <w:p w14:paraId="4725F664" w14:textId="7AD76897" w:rsidR="00B8772B" w:rsidRPr="006D50B8" w:rsidRDefault="00B8772B" w:rsidP="006D50B8">
      <w:pPr>
        <w:jc w:val="center"/>
        <w:rPr>
          <w:b/>
          <w:bCs/>
          <w:color w:val="2F5496" w:themeColor="accent1" w:themeShade="BF"/>
        </w:rPr>
      </w:pPr>
      <w:r w:rsidRPr="006D50B8">
        <w:rPr>
          <w:b/>
          <w:bCs/>
          <w:color w:val="2F5496" w:themeColor="accent1" w:themeShade="BF"/>
        </w:rPr>
        <w:t>CAPÍTULO II</w:t>
      </w:r>
    </w:p>
    <w:p w14:paraId="465C7346" w14:textId="11E739CE" w:rsidR="00B8772B" w:rsidRPr="00972E45" w:rsidRDefault="00972E45">
      <w:pPr>
        <w:rPr>
          <w:b/>
          <w:bCs/>
        </w:rPr>
      </w:pPr>
      <w:bookmarkStart w:id="1" w:name="_Hlk181815437"/>
      <w:r w:rsidRPr="00972E45">
        <w:rPr>
          <w:b/>
          <w:bCs/>
        </w:rPr>
        <w:t>Artículo 3. Ayudas destinadas a paliar da</w:t>
      </w:r>
      <w:r w:rsidRPr="00972E45">
        <w:rPr>
          <w:rFonts w:cs="Barlow"/>
          <w:b/>
          <w:bCs/>
        </w:rPr>
        <w:t>ñ</w:t>
      </w:r>
      <w:r w:rsidRPr="00972E45">
        <w:rPr>
          <w:b/>
          <w:bCs/>
        </w:rPr>
        <w:t>os personales, da</w:t>
      </w:r>
      <w:r w:rsidRPr="00972E45">
        <w:rPr>
          <w:rFonts w:cs="Barlow"/>
          <w:b/>
          <w:bCs/>
        </w:rPr>
        <w:t>ñ</w:t>
      </w:r>
      <w:r w:rsidRPr="00972E45">
        <w:rPr>
          <w:b/>
          <w:bCs/>
        </w:rPr>
        <w:t>os materiales en vivienda y enseres, y en establecimientos industriales, mercantiles y de servicios, y por prestaciones personales o de bienes de personas f</w:t>
      </w:r>
      <w:r w:rsidRPr="00972E45">
        <w:rPr>
          <w:rFonts w:cs="Barlow"/>
          <w:b/>
          <w:bCs/>
        </w:rPr>
        <w:t>í</w:t>
      </w:r>
      <w:r w:rsidRPr="00972E45">
        <w:rPr>
          <w:b/>
          <w:bCs/>
        </w:rPr>
        <w:t>sicas o jur</w:t>
      </w:r>
      <w:r w:rsidRPr="00972E45">
        <w:rPr>
          <w:rFonts w:cs="Barlow"/>
          <w:b/>
          <w:bCs/>
        </w:rPr>
        <w:t>í</w:t>
      </w:r>
      <w:r w:rsidRPr="00972E45">
        <w:rPr>
          <w:b/>
          <w:bCs/>
        </w:rPr>
        <w:t>dicas.</w:t>
      </w:r>
    </w:p>
    <w:p w14:paraId="6AAE4C5F" w14:textId="77777777" w:rsidR="00DE5551" w:rsidRDefault="00DE5551" w:rsidP="00972E45">
      <w:pPr>
        <w:jc w:val="both"/>
      </w:pPr>
      <w:r>
        <w:t>Da</w:t>
      </w:r>
      <w:r w:rsidR="00972E45">
        <w:t xml:space="preserve">ños a </w:t>
      </w:r>
      <w:r w:rsidR="00972E45" w:rsidRPr="00972E45">
        <w:rPr>
          <w:b/>
          <w:bCs/>
        </w:rPr>
        <w:t>establecimientos industriales, mercantiles y de servicios</w:t>
      </w:r>
      <w:r>
        <w:t>: si se ha sido</w:t>
      </w:r>
      <w:r w:rsidR="00972E45" w:rsidRPr="00972E45">
        <w:rPr>
          <w:b/>
          <w:bCs/>
        </w:rPr>
        <w:t xml:space="preserve"> indemnizada por el Consorcio de Compensación de Seguros con aplicación de la franquicia prevista en el artículo 9 del Reglamento del seguro de riesgos extraordinarios, aprobado por el Real Decreto 300/2004, de 20 de febrero</w:t>
      </w:r>
      <w:r w:rsidR="00972E45">
        <w:t xml:space="preserve">, se podrá conceder una </w:t>
      </w:r>
      <w:r w:rsidR="00972E45" w:rsidRPr="00972E45">
        <w:rPr>
          <w:b/>
          <w:bCs/>
        </w:rPr>
        <w:t>subvención de hasta el 7 % de la cuantía de los daños indemnizables producidos por el siniestro</w:t>
      </w:r>
      <w:r w:rsidR="00972E45">
        <w:t xml:space="preserve">, hasta el </w:t>
      </w:r>
      <w:r w:rsidR="00972E45" w:rsidRPr="00972E45">
        <w:rPr>
          <w:b/>
          <w:bCs/>
        </w:rPr>
        <w:t>importe máximo de 36.896 euros</w:t>
      </w:r>
      <w:r w:rsidR="00972E45">
        <w:t xml:space="preserve"> contemplado en el artículo 28 del Real Decreto 307/2005, de 18 de marzo</w:t>
      </w:r>
      <w:r>
        <w:t>.</w:t>
      </w:r>
    </w:p>
    <w:p w14:paraId="3B92E13C" w14:textId="415EB77F" w:rsidR="00972E45" w:rsidRDefault="00972E45" w:rsidP="00972E45">
      <w:r>
        <w:t xml:space="preserve">Las solicitudes para la concesión de estas ayudas se presentarán en el </w:t>
      </w:r>
      <w:r w:rsidRPr="00972E45">
        <w:rPr>
          <w:b/>
          <w:bCs/>
        </w:rPr>
        <w:t>plazo de dos meses</w:t>
      </w:r>
      <w:r>
        <w:t>, contados a partir de la publicación en el «Boletín oficial del Estado» de este real decreto-ley.</w:t>
      </w:r>
    </w:p>
    <w:p w14:paraId="004A140E" w14:textId="77777777" w:rsidR="00972E45" w:rsidRPr="00972E45" w:rsidRDefault="00972E45" w:rsidP="00972E45">
      <w:pPr>
        <w:rPr>
          <w:b/>
          <w:bCs/>
        </w:rPr>
      </w:pPr>
      <w:r w:rsidRPr="00972E45">
        <w:rPr>
          <w:b/>
          <w:bCs/>
        </w:rPr>
        <w:t>Artículo 6. Excepciones a la aplicación de la franquicia prevista en el artículo 9 del Reglamento del seguro de riesgos extraordinarios, aprobado por el Real Decreto 300/2004, de 20 de febrero.</w:t>
      </w:r>
    </w:p>
    <w:bookmarkEnd w:id="1"/>
    <w:p w14:paraId="34F02086" w14:textId="212795F8" w:rsidR="00972E45" w:rsidRDefault="00972E45" w:rsidP="00972E45">
      <w:pPr>
        <w:jc w:val="both"/>
      </w:pPr>
      <w:r>
        <w:t xml:space="preserve">1. En las indemnizaciones del seguro de riesgos extraordinarios abonadas por el Consorcio de Compensación de Seguros como consecuencia de los daños en las cosas producidos en establecimientos industriales, mercantiles y de servicios causados directamente por los hechos mencionados en el artículo 1 de este real decreto-ley, </w:t>
      </w:r>
      <w:r w:rsidRPr="00972E45">
        <w:rPr>
          <w:b/>
          <w:bCs/>
        </w:rPr>
        <w:t>no se efectuará deducción alguna en concepto de franquicia en el caso de asegurados cuyo importe neto de cifra anual de negocios no supere los 6.000.000 euros.</w:t>
      </w:r>
    </w:p>
    <w:p w14:paraId="240CAF71" w14:textId="40564528" w:rsidR="00DE5551" w:rsidRDefault="00972E45" w:rsidP="00972E45">
      <w:pPr>
        <w:jc w:val="both"/>
        <w:rPr>
          <w:b/>
          <w:bCs/>
        </w:rPr>
      </w:pPr>
      <w:r>
        <w:lastRenderedPageBreak/>
        <w:t xml:space="preserve">2. En las indemnizaciones del seguro de riesgos extraordinarios abonadas por el Consorcio de Compensación de Seguros como consecuencia de los daños en las cosas producidos en establecimientos industriales, mercantiles y de servicios causados directamente por los hechos mencionados en el artículo 1 de este real decreto-ley en el caso de </w:t>
      </w:r>
      <w:r w:rsidRPr="00972E45">
        <w:rPr>
          <w:b/>
          <w:bCs/>
        </w:rPr>
        <w:t>asegurados cuyo importe neto de cifra anual de negocios supere los 6.000.000 euros, así como en el caso de la cobertura de pérdidas pecuniarias, se aplicará, en su caso, la franquicia prevista en la Orden ECC/2845/2015, de 23 de diciembre, por la que se regula la franquicia a aplicar por el Consorcio de Compensación de Seguros en materia de seguro de riesgos extraordinarios, sin perjuicio de las ayudas previstas en el artículo 3 de este real decreto-ley.</w:t>
      </w:r>
    </w:p>
    <w:p w14:paraId="0E0EF9AB" w14:textId="312A3807" w:rsidR="00DE5551" w:rsidRPr="00DE5551" w:rsidRDefault="00DE5551" w:rsidP="00972E45">
      <w:pPr>
        <w:jc w:val="both"/>
      </w:pPr>
      <w:r w:rsidRPr="00DE5551">
        <w:t xml:space="preserve">En relación con las coberturas del seguro de riesgos extraordinarios gestionado por el Consorcio de Compensación de Seguros, </w:t>
      </w:r>
      <w:r w:rsidRPr="00DE5551">
        <w:rPr>
          <w:b/>
          <w:bCs/>
        </w:rPr>
        <w:t>se elimina la franquicia para los daños materiales producidos en establecimientos industriales, mercantiles y de servicios causados directamente por los hechos mencionados en el artículo 1 de este real decreto-ley cuando los asegurados sean pequeñas y medianas empresas.</w:t>
      </w:r>
      <w:r w:rsidRPr="00DE5551">
        <w:t xml:space="preserve"> A estos efectos y con el objeto de facilitar la tramitación de las indemnizaciones se consideran como pequeñas y medianas empresas las que tengan un importe neto de cifra anual de negocios que no supere los 6.000.000 de euros, en línea con importes de referencia previstos en la normativa mercantil.</w:t>
      </w:r>
    </w:p>
    <w:p w14:paraId="35B30B5C" w14:textId="5F0EABD8" w:rsidR="00972E45" w:rsidRDefault="00972E45" w:rsidP="00972E45">
      <w:pPr>
        <w:jc w:val="both"/>
        <w:rPr>
          <w:b/>
          <w:bCs/>
        </w:rPr>
      </w:pPr>
      <w:r w:rsidRPr="00972E45">
        <w:rPr>
          <w:b/>
          <w:bCs/>
        </w:rPr>
        <w:t>Artículo 30. Régimen de cobranza y garantías.</w:t>
      </w:r>
    </w:p>
    <w:p w14:paraId="21DFF82E" w14:textId="7B5C5ACE" w:rsidR="00972E45" w:rsidRDefault="00972E45" w:rsidP="00972E45">
      <w:pPr>
        <w:jc w:val="both"/>
      </w:pPr>
      <w:r w:rsidRPr="00972E45">
        <w:t>Tendrá la consideración de garantía financiera la pignoración o cesión de los derechos de crédito que puedan resultar de las indemnizaciones del Consorcio de Compensación de Seguros o de las ayudas que por cualquier Administración se concedan por razón de la DANA, aun cuando el deudor sea un consumidor, una pequeña empresa o una microempresa.</w:t>
      </w:r>
    </w:p>
    <w:p w14:paraId="2E716E58" w14:textId="77777777" w:rsidR="00972E45" w:rsidRPr="00972E45" w:rsidRDefault="00972E45" w:rsidP="00972E45">
      <w:pPr>
        <w:jc w:val="both"/>
      </w:pPr>
    </w:p>
    <w:p w14:paraId="1083B01B" w14:textId="77777777" w:rsidR="00972E45" w:rsidRDefault="00972E45" w:rsidP="00972E45">
      <w:pPr>
        <w:jc w:val="both"/>
      </w:pPr>
    </w:p>
    <w:sectPr w:rsidR="00972E4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arlow">
    <w:altName w:val="Calibri"/>
    <w:charset w:val="00"/>
    <w:family w:val="auto"/>
    <w:pitch w:val="variable"/>
    <w:sig w:usb0="20000007" w:usb1="00000000" w:usb2="00000000" w:usb3="00000000" w:csb0="00000193"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Nunito Sans">
    <w:charset w:val="00"/>
    <w:family w:val="auto"/>
    <w:pitch w:val="variable"/>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1918"/>
    <w:rsid w:val="0017299C"/>
    <w:rsid w:val="0035338A"/>
    <w:rsid w:val="00606DA1"/>
    <w:rsid w:val="006D50B8"/>
    <w:rsid w:val="00711918"/>
    <w:rsid w:val="00972E45"/>
    <w:rsid w:val="00B74D82"/>
    <w:rsid w:val="00B8772B"/>
    <w:rsid w:val="00DE5551"/>
    <w:rsid w:val="00F96BA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F6B522"/>
  <w15:chartTrackingRefBased/>
  <w15:docId w15:val="{17A07557-DBDD-4696-AE14-9054B83D86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Barlow" w:eastAsiaTheme="minorHAnsi" w:hAnsi="Barlow" w:cstheme="minorBidi"/>
        <w:kern w:val="2"/>
        <w:sz w:val="24"/>
        <w:szCs w:val="24"/>
        <w:lang w:val="es-ES" w:eastAsia="en-US" w:bidi="ar-SA"/>
        <w14:ligatures w14:val="standardContextual"/>
      </w:rPr>
    </w:rPrDefault>
    <w:pPrDefault>
      <w:pPr>
        <w:spacing w:after="160" w:line="259"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jc w:val="left"/>
    </w:pPr>
  </w:style>
  <w:style w:type="paragraph" w:styleId="Ttulo1">
    <w:name w:val="heading 1"/>
    <w:basedOn w:val="Normal"/>
    <w:next w:val="Normal"/>
    <w:link w:val="Ttulo1Car"/>
    <w:uiPriority w:val="9"/>
    <w:qFormat/>
    <w:rsid w:val="0071191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ar"/>
    <w:uiPriority w:val="9"/>
    <w:semiHidden/>
    <w:unhideWhenUsed/>
    <w:qFormat/>
    <w:rsid w:val="0071191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ar"/>
    <w:uiPriority w:val="9"/>
    <w:semiHidden/>
    <w:unhideWhenUsed/>
    <w:qFormat/>
    <w:rsid w:val="00711918"/>
    <w:pPr>
      <w:keepNext/>
      <w:keepLines/>
      <w:spacing w:before="160" w:after="80"/>
      <w:outlineLvl w:val="2"/>
    </w:pPr>
    <w:rPr>
      <w:rFonts w:asciiTheme="minorHAnsi" w:eastAsiaTheme="majorEastAsia" w:hAnsiTheme="minorHAnsi" w:cstheme="majorBidi"/>
      <w:color w:val="2F5496" w:themeColor="accent1" w:themeShade="BF"/>
      <w:sz w:val="28"/>
      <w:szCs w:val="28"/>
    </w:rPr>
  </w:style>
  <w:style w:type="paragraph" w:styleId="Ttulo4">
    <w:name w:val="heading 4"/>
    <w:basedOn w:val="Normal"/>
    <w:next w:val="Normal"/>
    <w:link w:val="Ttulo4Car"/>
    <w:uiPriority w:val="9"/>
    <w:semiHidden/>
    <w:unhideWhenUsed/>
    <w:qFormat/>
    <w:rsid w:val="00711918"/>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Ttulo5">
    <w:name w:val="heading 5"/>
    <w:basedOn w:val="Normal"/>
    <w:next w:val="Normal"/>
    <w:link w:val="Ttulo5Car"/>
    <w:uiPriority w:val="9"/>
    <w:semiHidden/>
    <w:unhideWhenUsed/>
    <w:qFormat/>
    <w:rsid w:val="00711918"/>
    <w:pPr>
      <w:keepNext/>
      <w:keepLines/>
      <w:spacing w:before="80" w:after="40"/>
      <w:outlineLvl w:val="4"/>
    </w:pPr>
    <w:rPr>
      <w:rFonts w:asciiTheme="minorHAnsi" w:eastAsiaTheme="majorEastAsia" w:hAnsiTheme="minorHAnsi" w:cstheme="majorBidi"/>
      <w:color w:val="2F5496" w:themeColor="accent1" w:themeShade="BF"/>
    </w:rPr>
  </w:style>
  <w:style w:type="paragraph" w:styleId="Ttulo6">
    <w:name w:val="heading 6"/>
    <w:basedOn w:val="Normal"/>
    <w:next w:val="Normal"/>
    <w:link w:val="Ttulo6Car"/>
    <w:uiPriority w:val="9"/>
    <w:semiHidden/>
    <w:unhideWhenUsed/>
    <w:qFormat/>
    <w:rsid w:val="00711918"/>
    <w:pPr>
      <w:keepNext/>
      <w:keepLines/>
      <w:spacing w:before="40" w:after="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ar"/>
    <w:uiPriority w:val="9"/>
    <w:semiHidden/>
    <w:unhideWhenUsed/>
    <w:qFormat/>
    <w:rsid w:val="00711918"/>
    <w:pPr>
      <w:keepNext/>
      <w:keepLines/>
      <w:spacing w:before="40" w:after="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ar"/>
    <w:uiPriority w:val="9"/>
    <w:semiHidden/>
    <w:unhideWhenUsed/>
    <w:qFormat/>
    <w:rsid w:val="00711918"/>
    <w:pPr>
      <w:keepNext/>
      <w:keepLines/>
      <w:spacing w:after="0"/>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ar"/>
    <w:uiPriority w:val="9"/>
    <w:semiHidden/>
    <w:unhideWhenUsed/>
    <w:qFormat/>
    <w:rsid w:val="00711918"/>
    <w:pPr>
      <w:keepNext/>
      <w:keepLines/>
      <w:spacing w:after="0"/>
      <w:outlineLvl w:val="8"/>
    </w:pPr>
    <w:rPr>
      <w:rFonts w:asciiTheme="minorHAnsi" w:eastAsiaTheme="majorEastAsia" w:hAnsiTheme="minorHAnsi"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11918"/>
    <w:rPr>
      <w:rFonts w:asciiTheme="majorHAnsi" w:eastAsiaTheme="majorEastAsia" w:hAnsiTheme="majorHAnsi" w:cstheme="majorBidi"/>
      <w:color w:val="2F5496" w:themeColor="accent1" w:themeShade="BF"/>
      <w:sz w:val="40"/>
      <w:szCs w:val="40"/>
    </w:rPr>
  </w:style>
  <w:style w:type="character" w:customStyle="1" w:styleId="Ttulo2Car">
    <w:name w:val="Título 2 Car"/>
    <w:basedOn w:val="Fuentedeprrafopredeter"/>
    <w:link w:val="Ttulo2"/>
    <w:uiPriority w:val="9"/>
    <w:semiHidden/>
    <w:rsid w:val="00711918"/>
    <w:rPr>
      <w:rFonts w:asciiTheme="majorHAnsi" w:eastAsiaTheme="majorEastAsia" w:hAnsiTheme="majorHAnsi" w:cstheme="majorBidi"/>
      <w:color w:val="2F5496" w:themeColor="accent1" w:themeShade="BF"/>
      <w:sz w:val="32"/>
      <w:szCs w:val="32"/>
    </w:rPr>
  </w:style>
  <w:style w:type="character" w:customStyle="1" w:styleId="Ttulo3Car">
    <w:name w:val="Título 3 Car"/>
    <w:basedOn w:val="Fuentedeprrafopredeter"/>
    <w:link w:val="Ttulo3"/>
    <w:uiPriority w:val="9"/>
    <w:semiHidden/>
    <w:rsid w:val="00711918"/>
    <w:rPr>
      <w:rFonts w:asciiTheme="minorHAnsi" w:eastAsiaTheme="majorEastAsia" w:hAnsiTheme="minorHAnsi" w:cstheme="majorBidi"/>
      <w:color w:val="2F5496" w:themeColor="accent1" w:themeShade="BF"/>
      <w:sz w:val="28"/>
      <w:szCs w:val="28"/>
    </w:rPr>
  </w:style>
  <w:style w:type="character" w:customStyle="1" w:styleId="Ttulo4Car">
    <w:name w:val="Título 4 Car"/>
    <w:basedOn w:val="Fuentedeprrafopredeter"/>
    <w:link w:val="Ttulo4"/>
    <w:uiPriority w:val="9"/>
    <w:semiHidden/>
    <w:rsid w:val="00711918"/>
    <w:rPr>
      <w:rFonts w:asciiTheme="minorHAnsi" w:eastAsiaTheme="majorEastAsia" w:hAnsiTheme="minorHAnsi" w:cstheme="majorBidi"/>
      <w:i/>
      <w:iCs/>
      <w:color w:val="2F5496" w:themeColor="accent1" w:themeShade="BF"/>
    </w:rPr>
  </w:style>
  <w:style w:type="character" w:customStyle="1" w:styleId="Ttulo5Car">
    <w:name w:val="Título 5 Car"/>
    <w:basedOn w:val="Fuentedeprrafopredeter"/>
    <w:link w:val="Ttulo5"/>
    <w:uiPriority w:val="9"/>
    <w:semiHidden/>
    <w:rsid w:val="00711918"/>
    <w:rPr>
      <w:rFonts w:asciiTheme="minorHAnsi" w:eastAsiaTheme="majorEastAsia" w:hAnsiTheme="minorHAnsi" w:cstheme="majorBidi"/>
      <w:color w:val="2F5496" w:themeColor="accent1" w:themeShade="BF"/>
    </w:rPr>
  </w:style>
  <w:style w:type="character" w:customStyle="1" w:styleId="Ttulo6Car">
    <w:name w:val="Título 6 Car"/>
    <w:basedOn w:val="Fuentedeprrafopredeter"/>
    <w:link w:val="Ttulo6"/>
    <w:uiPriority w:val="9"/>
    <w:semiHidden/>
    <w:rsid w:val="00711918"/>
    <w:rPr>
      <w:rFonts w:asciiTheme="minorHAnsi" w:eastAsiaTheme="majorEastAsia" w:hAnsiTheme="minorHAnsi" w:cstheme="majorBidi"/>
      <w:i/>
      <w:iCs/>
      <w:color w:val="595959" w:themeColor="text1" w:themeTint="A6"/>
    </w:rPr>
  </w:style>
  <w:style w:type="character" w:customStyle="1" w:styleId="Ttulo7Car">
    <w:name w:val="Título 7 Car"/>
    <w:basedOn w:val="Fuentedeprrafopredeter"/>
    <w:link w:val="Ttulo7"/>
    <w:uiPriority w:val="9"/>
    <w:semiHidden/>
    <w:rsid w:val="00711918"/>
    <w:rPr>
      <w:rFonts w:asciiTheme="minorHAnsi" w:eastAsiaTheme="majorEastAsia" w:hAnsiTheme="minorHAnsi" w:cstheme="majorBidi"/>
      <w:color w:val="595959" w:themeColor="text1" w:themeTint="A6"/>
    </w:rPr>
  </w:style>
  <w:style w:type="character" w:customStyle="1" w:styleId="Ttulo8Car">
    <w:name w:val="Título 8 Car"/>
    <w:basedOn w:val="Fuentedeprrafopredeter"/>
    <w:link w:val="Ttulo8"/>
    <w:uiPriority w:val="9"/>
    <w:semiHidden/>
    <w:rsid w:val="00711918"/>
    <w:rPr>
      <w:rFonts w:asciiTheme="minorHAnsi" w:eastAsiaTheme="majorEastAsia" w:hAnsiTheme="minorHAnsi" w:cstheme="majorBidi"/>
      <w:i/>
      <w:iCs/>
      <w:color w:val="272727" w:themeColor="text1" w:themeTint="D8"/>
    </w:rPr>
  </w:style>
  <w:style w:type="character" w:customStyle="1" w:styleId="Ttulo9Car">
    <w:name w:val="Título 9 Car"/>
    <w:basedOn w:val="Fuentedeprrafopredeter"/>
    <w:link w:val="Ttulo9"/>
    <w:uiPriority w:val="9"/>
    <w:semiHidden/>
    <w:rsid w:val="00711918"/>
    <w:rPr>
      <w:rFonts w:asciiTheme="minorHAnsi" w:eastAsiaTheme="majorEastAsia" w:hAnsiTheme="minorHAnsi" w:cstheme="majorBidi"/>
      <w:color w:val="272727" w:themeColor="text1" w:themeTint="D8"/>
    </w:rPr>
  </w:style>
  <w:style w:type="paragraph" w:styleId="Ttulo">
    <w:name w:val="Title"/>
    <w:basedOn w:val="Normal"/>
    <w:next w:val="Normal"/>
    <w:link w:val="TtuloCar"/>
    <w:uiPriority w:val="10"/>
    <w:qFormat/>
    <w:rsid w:val="0071191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711918"/>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711918"/>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711918"/>
    <w:rPr>
      <w:rFonts w:asciiTheme="minorHAnsi" w:eastAsiaTheme="majorEastAsia" w:hAnsiTheme="minorHAnsi" w:cstheme="majorBidi"/>
      <w:color w:val="595959" w:themeColor="text1" w:themeTint="A6"/>
      <w:spacing w:val="15"/>
      <w:sz w:val="28"/>
      <w:szCs w:val="28"/>
    </w:rPr>
  </w:style>
  <w:style w:type="paragraph" w:styleId="Cita">
    <w:name w:val="Quote"/>
    <w:basedOn w:val="Normal"/>
    <w:next w:val="Normal"/>
    <w:link w:val="CitaCar"/>
    <w:uiPriority w:val="29"/>
    <w:qFormat/>
    <w:rsid w:val="00711918"/>
    <w:pPr>
      <w:spacing w:before="160"/>
      <w:jc w:val="center"/>
    </w:pPr>
    <w:rPr>
      <w:i/>
      <w:iCs/>
      <w:color w:val="404040" w:themeColor="text1" w:themeTint="BF"/>
    </w:rPr>
  </w:style>
  <w:style w:type="character" w:customStyle="1" w:styleId="CitaCar">
    <w:name w:val="Cita Car"/>
    <w:basedOn w:val="Fuentedeprrafopredeter"/>
    <w:link w:val="Cita"/>
    <w:uiPriority w:val="29"/>
    <w:rsid w:val="00711918"/>
    <w:rPr>
      <w:i/>
      <w:iCs/>
      <w:color w:val="404040" w:themeColor="text1" w:themeTint="BF"/>
    </w:rPr>
  </w:style>
  <w:style w:type="paragraph" w:styleId="Prrafodelista">
    <w:name w:val="List Paragraph"/>
    <w:basedOn w:val="Normal"/>
    <w:uiPriority w:val="34"/>
    <w:qFormat/>
    <w:rsid w:val="00711918"/>
    <w:pPr>
      <w:ind w:left="720"/>
      <w:contextualSpacing/>
    </w:pPr>
  </w:style>
  <w:style w:type="character" w:styleId="nfasisintenso">
    <w:name w:val="Intense Emphasis"/>
    <w:basedOn w:val="Fuentedeprrafopredeter"/>
    <w:uiPriority w:val="21"/>
    <w:qFormat/>
    <w:rsid w:val="00711918"/>
    <w:rPr>
      <w:i/>
      <w:iCs/>
      <w:color w:val="2F5496" w:themeColor="accent1" w:themeShade="BF"/>
    </w:rPr>
  </w:style>
  <w:style w:type="paragraph" w:styleId="Citadestacada">
    <w:name w:val="Intense Quote"/>
    <w:basedOn w:val="Normal"/>
    <w:next w:val="Normal"/>
    <w:link w:val="CitadestacadaCar"/>
    <w:uiPriority w:val="30"/>
    <w:qFormat/>
    <w:rsid w:val="0071191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destacadaCar">
    <w:name w:val="Cita destacada Car"/>
    <w:basedOn w:val="Fuentedeprrafopredeter"/>
    <w:link w:val="Citadestacada"/>
    <w:uiPriority w:val="30"/>
    <w:rsid w:val="00711918"/>
    <w:rPr>
      <w:i/>
      <w:iCs/>
      <w:color w:val="2F5496" w:themeColor="accent1" w:themeShade="BF"/>
    </w:rPr>
  </w:style>
  <w:style w:type="character" w:styleId="Referenciaintensa">
    <w:name w:val="Intense Reference"/>
    <w:basedOn w:val="Fuentedeprrafopredeter"/>
    <w:uiPriority w:val="32"/>
    <w:qFormat/>
    <w:rsid w:val="0071191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592</Words>
  <Characters>3261</Characters>
  <Application>Microsoft Office Word</Application>
  <DocSecurity>4</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Fevecta Castellon</dc:creator>
  <cp:keywords/>
  <dc:description/>
  <cp:lastModifiedBy>Paloma</cp:lastModifiedBy>
  <cp:revision>2</cp:revision>
  <dcterms:created xsi:type="dcterms:W3CDTF">2024-11-06T19:00:00Z</dcterms:created>
  <dcterms:modified xsi:type="dcterms:W3CDTF">2024-11-06T19:00:00Z</dcterms:modified>
</cp:coreProperties>
</file>